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0EEC" w14:textId="0267AD75" w:rsidR="00465044" w:rsidRDefault="00523871" w:rsidP="00465044">
      <w:pPr>
        <w:rPr>
          <w:rFonts w:ascii="Arial" w:hAnsi="Arial" w:cs="Arial"/>
          <w:color w:val="000000"/>
          <w:sz w:val="26"/>
          <w:szCs w:val="26"/>
        </w:rPr>
      </w:pPr>
      <w:bookmarkStart w:id="0" w:name="_Hlk101269888"/>
      <w:r w:rsidRPr="00465044">
        <w:rPr>
          <w:rFonts w:ascii="Arial" w:hAnsi="Arial" w:cs="Arial"/>
          <w:color w:val="000000"/>
          <w:sz w:val="26"/>
          <w:szCs w:val="26"/>
        </w:rPr>
        <w:t>Act 1063 of 2017, the Right to Read Act</w:t>
      </w:r>
      <w:r w:rsidR="00465044" w:rsidRPr="00465044">
        <w:rPr>
          <w:rFonts w:ascii="Arial" w:hAnsi="Arial" w:cs="Arial"/>
          <w:color w:val="000000"/>
          <w:sz w:val="26"/>
          <w:szCs w:val="26"/>
        </w:rPr>
        <w:t>, states: “Beginning no later than the 2022-2023 school year, each state-approved educator preparation program shall post on its website information describing its program to prepare teachers to teach reading using scientific reading instruction aligned with but not limited to the content measured by the stand-alone reading assessment adopted by the State Board of Education under § 6-17-402.</w:t>
      </w:r>
      <w:r w:rsidR="00465044">
        <w:rPr>
          <w:rFonts w:ascii="Arial" w:hAnsi="Arial" w:cs="Arial"/>
          <w:color w:val="000000"/>
          <w:sz w:val="26"/>
          <w:szCs w:val="26"/>
        </w:rPr>
        <w:t>”</w:t>
      </w:r>
    </w:p>
    <w:p w14:paraId="68ADDE50" w14:textId="4A145517" w:rsidR="00465044" w:rsidRDefault="00465044">
      <w:pPr>
        <w:rPr>
          <w:rFonts w:ascii="Arial" w:hAnsi="Arial" w:cs="Arial"/>
          <w:color w:val="000000"/>
          <w:sz w:val="26"/>
          <w:szCs w:val="26"/>
        </w:rPr>
      </w:pPr>
      <w:r w:rsidRPr="00FD40FD">
        <w:rPr>
          <w:rFonts w:ascii="Arial" w:hAnsi="Arial" w:cs="Arial"/>
          <w:color w:val="000000"/>
          <w:sz w:val="26"/>
          <w:szCs w:val="26"/>
        </w:rPr>
        <w:t xml:space="preserve">Candidates enrolled in Elementary Education </w:t>
      </w:r>
      <w:r w:rsidR="00FD40FD" w:rsidRPr="00FD40FD">
        <w:rPr>
          <w:rFonts w:ascii="Arial" w:hAnsi="Arial" w:cs="Arial"/>
          <w:color w:val="000000"/>
          <w:sz w:val="26"/>
          <w:szCs w:val="26"/>
        </w:rPr>
        <w:t>K-6 and Special Education K-</w:t>
      </w:r>
      <w:r w:rsidR="001E6EED" w:rsidRPr="00FD40FD">
        <w:rPr>
          <w:rFonts w:ascii="Arial" w:hAnsi="Arial" w:cs="Arial"/>
          <w:color w:val="000000"/>
          <w:sz w:val="26"/>
          <w:szCs w:val="26"/>
        </w:rPr>
        <w:t>12</w:t>
      </w:r>
      <w:r w:rsidR="001E6EED">
        <w:rPr>
          <w:rFonts w:ascii="Arial" w:hAnsi="Arial" w:cs="Arial"/>
          <w:color w:val="000000"/>
          <w:sz w:val="26"/>
          <w:szCs w:val="26"/>
        </w:rPr>
        <w:t xml:space="preserve"> programs</w:t>
      </w:r>
      <w:r w:rsidR="00FD40FD" w:rsidRPr="00FD40FD">
        <w:rPr>
          <w:rFonts w:ascii="Arial" w:hAnsi="Arial" w:cs="Arial"/>
          <w:color w:val="000000"/>
          <w:sz w:val="26"/>
          <w:szCs w:val="26"/>
        </w:rPr>
        <w:t xml:space="preserve"> must complete coursework and pass the Foundations of Reading test to be considered proficient in scientific reading instruction to obtain a license.</w:t>
      </w:r>
    </w:p>
    <w:p w14:paraId="22146C31" w14:textId="58DA4A3C" w:rsidR="001E6EED" w:rsidRDefault="005E68C9">
      <w:pPr>
        <w:rPr>
          <w:rFonts w:ascii="Arial" w:hAnsi="Arial" w:cs="Arial"/>
          <w:color w:val="000000"/>
          <w:sz w:val="26"/>
          <w:szCs w:val="26"/>
        </w:rPr>
      </w:pPr>
      <w:r>
        <w:rPr>
          <w:rFonts w:ascii="Arial" w:hAnsi="Arial" w:cs="Arial"/>
          <w:color w:val="000000"/>
          <w:sz w:val="26"/>
          <w:szCs w:val="26"/>
        </w:rPr>
        <w:t>Candidates enrolled in all other licensure area</w:t>
      </w:r>
      <w:r w:rsidR="001E6EED">
        <w:rPr>
          <w:rFonts w:ascii="Arial" w:hAnsi="Arial" w:cs="Arial"/>
          <w:color w:val="000000"/>
          <w:sz w:val="26"/>
          <w:szCs w:val="26"/>
        </w:rPr>
        <w:t xml:space="preserve"> programs</w:t>
      </w:r>
      <w:r>
        <w:rPr>
          <w:rFonts w:ascii="Arial" w:hAnsi="Arial" w:cs="Arial"/>
          <w:color w:val="000000"/>
          <w:sz w:val="26"/>
          <w:szCs w:val="26"/>
        </w:rPr>
        <w:t xml:space="preserve"> must complete the coursework </w:t>
      </w:r>
      <w:r w:rsidRPr="00FD40FD">
        <w:rPr>
          <w:rFonts w:ascii="Arial" w:hAnsi="Arial" w:cs="Arial"/>
          <w:color w:val="000000"/>
          <w:sz w:val="26"/>
          <w:szCs w:val="26"/>
        </w:rPr>
        <w:t xml:space="preserve">to be considered </w:t>
      </w:r>
      <w:r>
        <w:rPr>
          <w:rFonts w:ascii="Arial" w:hAnsi="Arial" w:cs="Arial"/>
          <w:color w:val="000000"/>
          <w:sz w:val="26"/>
          <w:szCs w:val="26"/>
        </w:rPr>
        <w:t>awareness level</w:t>
      </w:r>
      <w:r w:rsidRPr="00FD40FD">
        <w:rPr>
          <w:rFonts w:ascii="Arial" w:hAnsi="Arial" w:cs="Arial"/>
          <w:color w:val="000000"/>
          <w:sz w:val="26"/>
          <w:szCs w:val="26"/>
        </w:rPr>
        <w:t xml:space="preserve"> in scientific reading instruction to obtain a license.</w:t>
      </w:r>
    </w:p>
    <w:p w14:paraId="1D1902FE" w14:textId="77777777" w:rsidR="008B463F" w:rsidRDefault="001E6EED" w:rsidP="001E6EED">
      <w:pPr>
        <w:rPr>
          <w:rFonts w:ascii="Arial" w:hAnsi="Arial" w:cs="Arial"/>
          <w:color w:val="000000"/>
          <w:sz w:val="26"/>
          <w:szCs w:val="26"/>
        </w:rPr>
      </w:pPr>
      <w:r>
        <w:rPr>
          <w:rFonts w:ascii="Arial" w:hAnsi="Arial" w:cs="Arial"/>
          <w:color w:val="000000"/>
          <w:sz w:val="26"/>
          <w:szCs w:val="26"/>
        </w:rPr>
        <w:t xml:space="preserve">In 2019, the Division of Elementary and Secondary Education approved (EPP Name) pathways to meet this requirement. The pathways are aligned to the appropriate </w:t>
      </w:r>
      <w:hyperlink r:id="rId4" w:history="1">
        <w:r w:rsidRPr="001E6EED">
          <w:rPr>
            <w:rStyle w:val="Hyperlink"/>
            <w:rFonts w:ascii="Arial" w:hAnsi="Arial" w:cs="Arial"/>
            <w:sz w:val="26"/>
            <w:szCs w:val="26"/>
          </w:rPr>
          <w:t xml:space="preserve">Foundations of Reading Competencies – Proficiency Level </w:t>
        </w:r>
      </w:hyperlink>
      <w:r>
        <w:rPr>
          <w:rFonts w:ascii="Arial" w:hAnsi="Arial" w:cs="Arial"/>
          <w:color w:val="000000"/>
          <w:sz w:val="26"/>
          <w:szCs w:val="26"/>
        </w:rPr>
        <w:t xml:space="preserve"> or </w:t>
      </w:r>
      <w:hyperlink r:id="rId5" w:history="1">
        <w:r w:rsidRPr="001E6EED">
          <w:rPr>
            <w:rStyle w:val="Hyperlink"/>
            <w:rFonts w:ascii="Arial" w:hAnsi="Arial" w:cs="Arial"/>
            <w:sz w:val="26"/>
            <w:szCs w:val="26"/>
          </w:rPr>
          <w:t>Foundations of Reading Competencies – Awareness Level</w:t>
        </w:r>
      </w:hyperlink>
      <w:r>
        <w:rPr>
          <w:rFonts w:ascii="Arial" w:hAnsi="Arial" w:cs="Arial"/>
          <w:color w:val="000000"/>
          <w:sz w:val="26"/>
          <w:szCs w:val="26"/>
        </w:rPr>
        <w:t>.</w:t>
      </w:r>
    </w:p>
    <w:p w14:paraId="48AD78AF" w14:textId="2D6399E2" w:rsidR="008B463F" w:rsidRPr="00465044" w:rsidRDefault="00290742" w:rsidP="001E6EED">
      <w:pPr>
        <w:rPr>
          <w:rFonts w:ascii="Arial" w:hAnsi="Arial" w:cs="Arial"/>
          <w:color w:val="000000"/>
          <w:sz w:val="26"/>
          <w:szCs w:val="26"/>
        </w:rPr>
      </w:pPr>
      <w:hyperlink r:id="rId6" w:history="1">
        <w:r w:rsidR="008B463F" w:rsidRPr="008B463F">
          <w:rPr>
            <w:rStyle w:val="Hyperlink"/>
            <w:rFonts w:ascii="Arial" w:hAnsi="Arial" w:cs="Arial"/>
            <w:sz w:val="26"/>
            <w:szCs w:val="26"/>
          </w:rPr>
          <w:t>DESE – Approved Course/Modules</w:t>
        </w:r>
      </w:hyperlink>
      <w:r w:rsidR="008B463F">
        <w:rPr>
          <w:rFonts w:ascii="Arial" w:hAnsi="Arial" w:cs="Arial"/>
          <w:color w:val="000000"/>
          <w:sz w:val="26"/>
          <w:szCs w:val="26"/>
        </w:rPr>
        <w:t xml:space="preserve"> lists approved courses/modules for all approved licensure programs in Arkansas.</w:t>
      </w:r>
    </w:p>
    <w:bookmarkEnd w:id="0"/>
    <w:p w14:paraId="55C8F4D3" w14:textId="1646E91E" w:rsidR="001E6EED" w:rsidRDefault="001E6EED">
      <w:pPr>
        <w:rPr>
          <w:rFonts w:ascii="Arial" w:hAnsi="Arial" w:cs="Arial"/>
          <w:color w:val="000000"/>
          <w:sz w:val="26"/>
          <w:szCs w:val="26"/>
        </w:rPr>
      </w:pPr>
    </w:p>
    <w:p w14:paraId="3969E157" w14:textId="4856FC18" w:rsidR="00290742" w:rsidRDefault="00290742">
      <w:pPr>
        <w:rPr>
          <w:rFonts w:ascii="Arial" w:hAnsi="Arial" w:cs="Arial"/>
          <w:color w:val="000000"/>
          <w:sz w:val="26"/>
          <w:szCs w:val="26"/>
        </w:rPr>
      </w:pPr>
      <w:r>
        <w:rPr>
          <w:rFonts w:ascii="Arial" w:hAnsi="Arial" w:cs="Arial"/>
          <w:color w:val="000000"/>
          <w:sz w:val="26"/>
          <w:szCs w:val="26"/>
        </w:rPr>
        <w:t>John Brown University addresses these competencies for Elementary Education K-6 in the following courses.</w:t>
      </w:r>
    </w:p>
    <w:p w14:paraId="4C11F74A" w14:textId="130B2076" w:rsidR="00290742" w:rsidRDefault="00290742">
      <w:pPr>
        <w:rPr>
          <w:rFonts w:ascii="Arial" w:hAnsi="Arial" w:cs="Arial"/>
          <w:color w:val="000000"/>
          <w:sz w:val="26"/>
          <w:szCs w:val="26"/>
        </w:rPr>
      </w:pPr>
      <w:r>
        <w:rPr>
          <w:rFonts w:ascii="Arial" w:hAnsi="Arial" w:cs="Arial"/>
          <w:color w:val="000000"/>
          <w:sz w:val="26"/>
          <w:szCs w:val="26"/>
        </w:rPr>
        <w:t>ED 3323 Reading Comprehension for Elementary Education</w:t>
      </w:r>
    </w:p>
    <w:p w14:paraId="5DF1AE7D" w14:textId="22D885C8" w:rsidR="00290742" w:rsidRDefault="00290742">
      <w:pPr>
        <w:rPr>
          <w:rFonts w:ascii="Arial" w:hAnsi="Arial" w:cs="Arial"/>
          <w:color w:val="000000"/>
          <w:sz w:val="26"/>
          <w:szCs w:val="26"/>
        </w:rPr>
      </w:pPr>
      <w:r>
        <w:rPr>
          <w:rFonts w:ascii="Arial" w:hAnsi="Arial" w:cs="Arial"/>
          <w:color w:val="000000"/>
          <w:sz w:val="26"/>
          <w:szCs w:val="26"/>
        </w:rPr>
        <w:t>ED 3333 Teaching Reading and Language Arts</w:t>
      </w:r>
    </w:p>
    <w:p w14:paraId="03DACECA" w14:textId="54CB2064" w:rsidR="00FC13A4" w:rsidRDefault="005E68C9" w:rsidP="00FC13A4">
      <w:pPr>
        <w:spacing w:after="0"/>
        <w:rPr>
          <w:rFonts w:ascii="Arial" w:hAnsi="Arial" w:cs="Arial"/>
          <w:color w:val="000000"/>
          <w:sz w:val="26"/>
          <w:szCs w:val="26"/>
        </w:rPr>
      </w:pPr>
      <w:r>
        <w:rPr>
          <w:rFonts w:ascii="Arial" w:hAnsi="Arial" w:cs="Arial"/>
          <w:color w:val="000000"/>
          <w:sz w:val="26"/>
          <w:szCs w:val="26"/>
        </w:rPr>
        <w:tab/>
      </w:r>
    </w:p>
    <w:p w14:paraId="2E085300" w14:textId="0FA6878E" w:rsidR="008C3E10" w:rsidRPr="00FD40FD" w:rsidRDefault="00B6068B" w:rsidP="00FC13A4">
      <w:pPr>
        <w:spacing w:after="0"/>
        <w:rPr>
          <w:rFonts w:ascii="Arial" w:hAnsi="Arial" w:cs="Arial"/>
          <w:color w:val="000000"/>
          <w:sz w:val="26"/>
          <w:szCs w:val="26"/>
        </w:rPr>
      </w:pPr>
      <w:r>
        <w:rPr>
          <w:rFonts w:ascii="Arial" w:hAnsi="Arial" w:cs="Arial"/>
          <w:color w:val="000000"/>
          <w:sz w:val="26"/>
          <w:szCs w:val="26"/>
        </w:rPr>
        <w:tab/>
      </w:r>
    </w:p>
    <w:sectPr w:rsidR="008C3E10" w:rsidRPr="00FD4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41"/>
    <w:rsid w:val="0002366F"/>
    <w:rsid w:val="001E6EED"/>
    <w:rsid w:val="00290742"/>
    <w:rsid w:val="00290C0E"/>
    <w:rsid w:val="002E4B1B"/>
    <w:rsid w:val="00305341"/>
    <w:rsid w:val="00465044"/>
    <w:rsid w:val="00523871"/>
    <w:rsid w:val="005E68C9"/>
    <w:rsid w:val="006210EA"/>
    <w:rsid w:val="00876B02"/>
    <w:rsid w:val="008B463F"/>
    <w:rsid w:val="008C3E10"/>
    <w:rsid w:val="00AE2C08"/>
    <w:rsid w:val="00B20100"/>
    <w:rsid w:val="00B31A56"/>
    <w:rsid w:val="00B6068B"/>
    <w:rsid w:val="00C74EB6"/>
    <w:rsid w:val="00C95251"/>
    <w:rsid w:val="00CA2CEB"/>
    <w:rsid w:val="00E01322"/>
    <w:rsid w:val="00FC13A4"/>
    <w:rsid w:val="00FD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B00C"/>
  <w15:chartTrackingRefBased/>
  <w15:docId w15:val="{1349B22C-AB2C-493D-BCF7-6B03E7CF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8C3E1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8C3E10"/>
    <w:rPr>
      <w:rFonts w:ascii="Arial" w:eastAsia="Arial" w:hAnsi="Arial" w:cs="Arial"/>
      <w:sz w:val="24"/>
      <w:szCs w:val="24"/>
    </w:rPr>
  </w:style>
  <w:style w:type="character" w:styleId="Hyperlink">
    <w:name w:val="Hyperlink"/>
    <w:basedOn w:val="DefaultParagraphFont"/>
    <w:uiPriority w:val="99"/>
    <w:unhideWhenUsed/>
    <w:rsid w:val="001E6EED"/>
    <w:rPr>
      <w:color w:val="0563C1" w:themeColor="hyperlink"/>
      <w:u w:val="single"/>
    </w:rPr>
  </w:style>
  <w:style w:type="character" w:styleId="UnresolvedMention">
    <w:name w:val="Unresolved Mention"/>
    <w:basedOn w:val="DefaultParagraphFont"/>
    <w:uiPriority w:val="99"/>
    <w:semiHidden/>
    <w:unhideWhenUsed/>
    <w:rsid w:val="001E6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9292">
      <w:bodyDiv w:val="1"/>
      <w:marLeft w:val="0"/>
      <w:marRight w:val="0"/>
      <w:marTop w:val="0"/>
      <w:marBottom w:val="0"/>
      <w:divBdr>
        <w:top w:val="none" w:sz="0" w:space="0" w:color="auto"/>
        <w:left w:val="none" w:sz="0" w:space="0" w:color="auto"/>
        <w:bottom w:val="none" w:sz="0" w:space="0" w:color="auto"/>
        <w:right w:val="none" w:sz="0" w:space="0" w:color="auto"/>
      </w:divBdr>
    </w:div>
    <w:div w:id="454300245">
      <w:bodyDiv w:val="1"/>
      <w:marLeft w:val="0"/>
      <w:marRight w:val="0"/>
      <w:marTop w:val="0"/>
      <w:marBottom w:val="0"/>
      <w:divBdr>
        <w:top w:val="none" w:sz="0" w:space="0" w:color="auto"/>
        <w:left w:val="none" w:sz="0" w:space="0" w:color="auto"/>
        <w:bottom w:val="none" w:sz="0" w:space="0" w:color="auto"/>
        <w:right w:val="none" w:sz="0" w:space="0" w:color="auto"/>
      </w:divBdr>
    </w:div>
    <w:div w:id="14304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9Kd3dgtHqd5Lq5LqhzuXEJiBw_RLtEAA/view" TargetMode="External"/><Relationship Id="rId5" Type="http://schemas.openxmlformats.org/officeDocument/2006/relationships/hyperlink" Target="https://dese.ade.arkansas.gov/Files/20201105152410_Awareness_Level_SoR_002_07_25_18.pdf" TargetMode="External"/><Relationship Id="rId4" Type="http://schemas.openxmlformats.org/officeDocument/2006/relationships/hyperlink" Target="https://dese.ade.arkansas.gov/Files/20201105155815_Proficiency_Level_SoR_for_Alt_Routes_06_15_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ADE</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Luneau (ADE)</dc:creator>
  <cp:keywords/>
  <dc:description/>
  <cp:lastModifiedBy>Curtis Cunningham</cp:lastModifiedBy>
  <cp:revision>3</cp:revision>
  <dcterms:created xsi:type="dcterms:W3CDTF">2022-05-25T15:47:00Z</dcterms:created>
  <dcterms:modified xsi:type="dcterms:W3CDTF">2022-05-25T15:50:00Z</dcterms:modified>
</cp:coreProperties>
</file>